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588" w:rsidRDefault="001842B7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5921706</wp:posOffset>
                </wp:positionH>
                <wp:positionV relativeFrom="paragraph">
                  <wp:posOffset>-643669</wp:posOffset>
                </wp:positionV>
                <wp:extent cx="691763" cy="310101"/>
                <wp:effectExtent l="0" t="0" r="13335" b="1397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63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842B7" w:rsidRDefault="001842B7">
                            <w:r w:rsidRPr="002639AF">
                              <w:rPr>
                                <w:rFonts w:eastAsia="標楷體" w:hint="eastAsia"/>
                                <w:bCs/>
                                <w:color w:val="00B050"/>
                              </w:rPr>
                              <w:t>附件</w:t>
                            </w:r>
                            <w:r w:rsidRPr="002639AF">
                              <w:rPr>
                                <w:rFonts w:eastAsia="標楷體" w:hint="eastAsia"/>
                                <w:bCs/>
                                <w:color w:val="00B05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66.3pt;margin-top:-50.7pt;width:54.45pt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" fillcolor="white [3201]" strokeweight=".5pt">
                <v:textbox>
                  <w:txbxContent>
                    <w:p w:rsidR="001842B7" w:rsidRDefault="001842B7">
                      <w:r w:rsidRPr="002639AF">
                        <w:rPr>
                          <w:rFonts w:eastAsia="標楷體" w:hint="eastAsia"/>
                          <w:bCs/>
                          <w:color w:val="00B050"/>
                        </w:rPr>
                        <w:t>附件</w:t>
                      </w:r>
                      <w:r w:rsidRPr="002639AF">
                        <w:rPr>
                          <w:rFonts w:eastAsia="標楷體" w:hint="eastAsia"/>
                          <w:bCs/>
                          <w:color w:val="00B05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  <w:bookmarkStart w:id="0" w:name="_GoBack"/>
      <w:bookmarkEnd w:id="0"/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</w:p>
    <w:p w:rsid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  <w:r w:rsidRPr="00243588">
        <w:rPr>
          <w:rFonts w:ascii="標楷體" w:eastAsia="標楷體" w:hAnsi="標楷體" w:hint="eastAsia"/>
          <w:sz w:val="44"/>
        </w:rPr>
        <w:t>國立臺灣科技大學</w:t>
      </w:r>
    </w:p>
    <w:p w:rsidR="001C3BE1" w:rsidRP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  <w:r w:rsidRPr="00243588">
        <w:rPr>
          <w:rFonts w:ascii="標楷體" w:eastAsia="標楷體" w:hAnsi="標楷體" w:hint="eastAsia"/>
          <w:sz w:val="44"/>
        </w:rPr>
        <w:t>第一學生宿舍1樓編號116</w:t>
      </w:r>
    </w:p>
    <w:p w:rsidR="00243588" w:rsidRPr="00243588" w:rsidRDefault="00243588" w:rsidP="00243588">
      <w:pPr>
        <w:spacing w:line="480" w:lineRule="auto"/>
        <w:jc w:val="center"/>
        <w:rPr>
          <w:rFonts w:ascii="標楷體" w:eastAsia="標楷體" w:hAnsi="標楷體"/>
          <w:sz w:val="44"/>
        </w:rPr>
      </w:pPr>
      <w:r w:rsidRPr="00243588">
        <w:rPr>
          <w:rFonts w:ascii="標楷體" w:eastAsia="標楷體" w:hAnsi="標楷體" w:hint="eastAsia"/>
          <w:sz w:val="44"/>
        </w:rPr>
        <w:t>營運企劃書</w:t>
      </w:r>
    </w:p>
    <w:p w:rsidR="00243588" w:rsidRPr="00243588" w:rsidRDefault="00243588">
      <w:pPr>
        <w:widowControl/>
        <w:rPr>
          <w:rFonts w:ascii="標楷體" w:eastAsia="標楷體" w:hAnsi="標楷體"/>
        </w:rPr>
      </w:pPr>
      <w:r w:rsidRPr="00243588">
        <w:rPr>
          <w:rFonts w:ascii="標楷體" w:eastAsia="標楷體" w:hAnsi="標楷體"/>
        </w:rPr>
        <w:br w:type="page"/>
      </w:r>
    </w:p>
    <w:p w:rsidR="00243588" w:rsidRPr="00243588" w:rsidRDefault="00243588" w:rsidP="0024358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lastRenderedPageBreak/>
        <w:t>經營經驗與績效</w:t>
      </w:r>
      <w:r>
        <w:rPr>
          <w:rFonts w:ascii="標楷體" w:eastAsia="標楷體" w:hAnsi="標楷體" w:hint="eastAsia"/>
        </w:rPr>
        <w:t>：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 xml:space="preserve">公司簡介、商譽及財務狀況（公司資本額需新臺幣100萬元以上）。 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具有經營國內公私立大專院校商場1年以上或經營國內相關銷售 1年以上之經驗</w:t>
      </w:r>
      <w:r>
        <w:rPr>
          <w:rFonts w:ascii="標楷體" w:eastAsia="標楷體" w:hAnsi="標楷體" w:hint="eastAsia"/>
        </w:rPr>
        <w:t>（過去實續</w:t>
      </w:r>
      <w:r w:rsidRPr="00243588">
        <w:rPr>
          <w:rFonts w:ascii="標楷體" w:eastAsia="標楷體" w:hAnsi="標楷體" w:hint="eastAsia"/>
        </w:rPr>
        <w:t>說明</w:t>
      </w:r>
      <w:r>
        <w:rPr>
          <w:rFonts w:ascii="標楷體" w:eastAsia="標楷體" w:hAnsi="標楷體" w:hint="eastAsia"/>
        </w:rPr>
        <w:t>）</w:t>
      </w:r>
      <w:r w:rsidRPr="00243588">
        <w:rPr>
          <w:rFonts w:ascii="標楷體" w:eastAsia="標楷體" w:hAnsi="標楷體" w:hint="eastAsia"/>
        </w:rPr>
        <w:t>，並提供證明文件(如現有營業點照片6張及簡介、平均來客數等)。</w:t>
      </w:r>
    </w:p>
    <w:p w:rsid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專業證照（如營養師證照、藥師證照、廚師證照、供餐人力及技術相關等證照）。</w:t>
      </w:r>
    </w:p>
    <w:p w:rsidR="00453235" w:rsidRPr="00243588" w:rsidRDefault="00453235" w:rsidP="00453235">
      <w:pPr>
        <w:pStyle w:val="a3"/>
        <w:ind w:leftChars="0" w:left="1276"/>
        <w:rPr>
          <w:rFonts w:ascii="標楷體" w:eastAsia="標楷體" w:hAnsi="標楷體"/>
        </w:rPr>
      </w:pPr>
    </w:p>
    <w:p w:rsidR="00243588" w:rsidRDefault="00243588" w:rsidP="0024358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空間規劃與服務內容</w:t>
      </w:r>
      <w:r w:rsidR="00453235">
        <w:rPr>
          <w:rFonts w:ascii="標楷體" w:eastAsia="標楷體" w:hAnsi="標楷體" w:hint="eastAsia"/>
        </w:rPr>
        <w:t>：</w:t>
      </w:r>
    </w:p>
    <w:p w:rsid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本案經營標的財務計畫（含投資金額、項目、成本分析、年營業額、預估財務報表及效益分析、損益表）。</w:t>
      </w:r>
    </w:p>
    <w:tbl>
      <w:tblPr>
        <w:tblStyle w:val="a4"/>
        <w:tblW w:w="0" w:type="auto"/>
        <w:tblInd w:w="1276" w:type="dxa"/>
        <w:tblLook w:val="04A0" w:firstRow="1" w:lastRow="0" w:firstColumn="1" w:lastColumn="0" w:noHBand="0" w:noVBand="1"/>
      </w:tblPr>
      <w:tblGrid>
        <w:gridCol w:w="1506"/>
        <w:gridCol w:w="1422"/>
        <w:gridCol w:w="1383"/>
        <w:gridCol w:w="1383"/>
        <w:gridCol w:w="1383"/>
        <w:gridCol w:w="1383"/>
      </w:tblGrid>
      <w:tr w:rsidR="00575A84" w:rsidTr="00575A84">
        <w:tc>
          <w:tcPr>
            <w:tcW w:w="1506" w:type="dxa"/>
            <w:vMerge w:val="restart"/>
            <w:shd w:val="clear" w:color="auto" w:fill="F2F2F2" w:themeFill="background1" w:themeFillShade="F2"/>
            <w:vAlign w:val="center"/>
          </w:tcPr>
          <w:p w:rsidR="00B40D7E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預估</w:t>
            </w:r>
          </w:p>
          <w:p w:rsidR="00575A84" w:rsidRPr="00394954" w:rsidRDefault="00B40D7E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年</w:t>
            </w:r>
            <w:r w:rsidR="00575A84" w:rsidRPr="00394954">
              <w:rPr>
                <w:rFonts w:ascii="標楷體" w:eastAsia="標楷體" w:hAnsi="標楷體" w:hint="eastAsia"/>
                <w:color w:val="4472C4" w:themeColor="accent1"/>
              </w:rPr>
              <w:t>營業額</w:t>
            </w:r>
          </w:p>
        </w:tc>
        <w:tc>
          <w:tcPr>
            <w:tcW w:w="5571" w:type="dxa"/>
            <w:gridSpan w:val="4"/>
            <w:shd w:val="clear" w:color="auto" w:fill="F2F2F2" w:themeFill="background1" w:themeFillShade="F2"/>
            <w:vAlign w:val="center"/>
          </w:tcPr>
          <w:p w:rsidR="00575A84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營運成本及支出</w:t>
            </w:r>
          </w:p>
        </w:tc>
        <w:tc>
          <w:tcPr>
            <w:tcW w:w="1383" w:type="dxa"/>
            <w:vMerge w:val="restart"/>
            <w:shd w:val="clear" w:color="auto" w:fill="F2F2F2" w:themeFill="background1" w:themeFillShade="F2"/>
            <w:vAlign w:val="center"/>
          </w:tcPr>
          <w:p w:rsidR="00575A84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預估獲利</w:t>
            </w:r>
          </w:p>
        </w:tc>
      </w:tr>
      <w:tr w:rsidR="00575A84" w:rsidTr="00575A84">
        <w:tc>
          <w:tcPr>
            <w:tcW w:w="1506" w:type="dxa"/>
            <w:vMerge/>
          </w:tcPr>
          <w:p w:rsidR="00575A84" w:rsidRPr="00394954" w:rsidRDefault="00575A84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422" w:type="dxa"/>
            <w:shd w:val="clear" w:color="auto" w:fill="F2F2F2" w:themeFill="background1" w:themeFillShade="F2"/>
            <w:vAlign w:val="center"/>
          </w:tcPr>
          <w:p w:rsidR="00575A84" w:rsidRPr="00394954" w:rsidRDefault="00B40D7E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投資</w:t>
            </w:r>
            <w:r w:rsidR="00575A84" w:rsidRPr="00394954">
              <w:rPr>
                <w:rFonts w:ascii="標楷體" w:eastAsia="標楷體" w:hAnsi="標楷體" w:hint="eastAsia"/>
                <w:color w:val="4472C4" w:themeColor="accent1"/>
              </w:rPr>
              <w:t>成本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:rsidR="00B40D7E" w:rsidRPr="00394954" w:rsidRDefault="00B40D7E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商品、</w:t>
            </w:r>
          </w:p>
          <w:p w:rsidR="00575A84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人事成本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:rsidR="00575A84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租金水電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:rsidR="00575A84" w:rsidRPr="00394954" w:rsidRDefault="00575A84" w:rsidP="00575A84">
            <w:pPr>
              <w:pStyle w:val="a3"/>
              <w:ind w:leftChars="0" w:left="0"/>
              <w:jc w:val="center"/>
              <w:rPr>
                <w:rFonts w:ascii="標楷體" w:eastAsia="標楷體" w:hAnsi="標楷體"/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</w:rPr>
              <w:t>雜支</w:t>
            </w:r>
          </w:p>
        </w:tc>
        <w:tc>
          <w:tcPr>
            <w:tcW w:w="1383" w:type="dxa"/>
            <w:vMerge/>
          </w:tcPr>
          <w:p w:rsidR="00575A84" w:rsidRPr="00394954" w:rsidRDefault="00575A84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</w:tr>
      <w:tr w:rsidR="00243588" w:rsidTr="00243588">
        <w:tc>
          <w:tcPr>
            <w:tcW w:w="1506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422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</w:tr>
      <w:tr w:rsidR="00243588" w:rsidTr="00243588">
        <w:tc>
          <w:tcPr>
            <w:tcW w:w="1506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422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  <w:tc>
          <w:tcPr>
            <w:tcW w:w="1383" w:type="dxa"/>
          </w:tcPr>
          <w:p w:rsidR="00243588" w:rsidRPr="00394954" w:rsidRDefault="00243588" w:rsidP="00243588">
            <w:pPr>
              <w:pStyle w:val="a3"/>
              <w:ind w:leftChars="0" w:left="0"/>
              <w:rPr>
                <w:rFonts w:ascii="標楷體" w:eastAsia="標楷體" w:hAnsi="標楷體"/>
                <w:color w:val="4472C4" w:themeColor="accent1"/>
              </w:rPr>
            </w:pPr>
          </w:p>
        </w:tc>
      </w:tr>
    </w:tbl>
    <w:p w:rsidR="00243588" w:rsidRPr="00394954" w:rsidRDefault="00575A84" w:rsidP="00243588">
      <w:pPr>
        <w:pStyle w:val="a3"/>
        <w:ind w:leftChars="0" w:left="1276"/>
        <w:rPr>
          <w:rFonts w:ascii="標楷體" w:eastAsia="標楷體" w:hAnsi="標楷體"/>
          <w:color w:val="4472C4" w:themeColor="accent1"/>
        </w:rPr>
      </w:pPr>
      <w:r w:rsidRPr="00394954">
        <w:rPr>
          <w:rFonts w:ascii="標楷體" w:eastAsia="標楷體" w:hAnsi="標楷體" w:hint="eastAsia"/>
          <w:color w:val="4472C4" w:themeColor="accent1"/>
        </w:rPr>
        <w:t>(表格供參考，可依實際內容調整)</w:t>
      </w:r>
    </w:p>
    <w:p w:rsid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營運空間施工計畫、時程、預算。</w:t>
      </w:r>
    </w:p>
    <w:tbl>
      <w:tblPr>
        <w:tblStyle w:val="a4"/>
        <w:tblW w:w="8358" w:type="dxa"/>
        <w:tblInd w:w="1276" w:type="dxa"/>
        <w:tblLook w:val="04A0" w:firstRow="1" w:lastRow="0" w:firstColumn="1" w:lastColumn="0" w:noHBand="0" w:noVBand="1"/>
      </w:tblPr>
      <w:tblGrid>
        <w:gridCol w:w="1554"/>
        <w:gridCol w:w="2410"/>
        <w:gridCol w:w="1134"/>
        <w:gridCol w:w="1134"/>
        <w:gridCol w:w="851"/>
        <w:gridCol w:w="1275"/>
      </w:tblGrid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453235">
            <w:pPr>
              <w:widowControl/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階段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453235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施工內容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453235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開始日期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453235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結束日期</w:t>
            </w:r>
          </w:p>
        </w:tc>
        <w:tc>
          <w:tcPr>
            <w:tcW w:w="851" w:type="dxa"/>
            <w:vAlign w:val="center"/>
          </w:tcPr>
          <w:p w:rsidR="001B2F17" w:rsidRPr="00394954" w:rsidRDefault="001B2F17" w:rsidP="00453235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預算</w:t>
            </w:r>
          </w:p>
        </w:tc>
        <w:tc>
          <w:tcPr>
            <w:tcW w:w="1275" w:type="dxa"/>
            <w:vAlign w:val="center"/>
          </w:tcPr>
          <w:p w:rsidR="001B2F17" w:rsidRPr="00394954" w:rsidRDefault="001B2F17" w:rsidP="00453235">
            <w:pPr>
              <w:spacing w:line="240" w:lineRule="exact"/>
              <w:jc w:val="center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工期（天）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1. 設計與規劃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空間設計、施工圖繪製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3D41E8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10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2. 施工準備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材料採購、施工許可申請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C21B6C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10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3. 基礎工程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牆面、地板、天花板施工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3D41E8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10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4. 水電工程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電力、水管、空調、消防設備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3D41E8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5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5. 室內裝修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油漆、地板、天花板、燈具安裝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C21B6C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10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6. 設備安裝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家具、機電設備、資訊設備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3D41E8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5</w:t>
            </w:r>
          </w:p>
        </w:tc>
      </w:tr>
      <w:tr w:rsidR="001B2F17" w:rsidTr="00E31868">
        <w:tc>
          <w:tcPr>
            <w:tcW w:w="155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b/>
                <w:bCs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7. 驗收與調整</w:t>
            </w:r>
          </w:p>
        </w:tc>
        <w:tc>
          <w:tcPr>
            <w:tcW w:w="2410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品質檢驗、缺失修正</w:t>
            </w: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2F17" w:rsidRPr="00394954" w:rsidRDefault="001B2F17" w:rsidP="00D467CC">
            <w:pPr>
              <w:spacing w:line="240" w:lineRule="exact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spacing w:line="240" w:lineRule="exact"/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2F17" w:rsidRPr="00394954" w:rsidRDefault="003D41E8" w:rsidP="00D467CC">
            <w:pPr>
              <w:spacing w:line="240" w:lineRule="exact"/>
              <w:jc w:val="center"/>
              <w:rPr>
                <w:rFonts w:ascii="標楷體" w:eastAsia="標楷體" w:hAnsi="標楷體" w:cs="新細明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5</w:t>
            </w:r>
          </w:p>
        </w:tc>
      </w:tr>
      <w:tr w:rsidR="001B2F17" w:rsidTr="00E31868">
        <w:tc>
          <w:tcPr>
            <w:tcW w:w="1554" w:type="dxa"/>
          </w:tcPr>
          <w:p w:rsidR="001B2F17" w:rsidRPr="00394954" w:rsidRDefault="001B2F17" w:rsidP="00D467CC">
            <w:pPr>
              <w:rPr>
                <w:color w:val="4472C4" w:themeColor="accent1"/>
              </w:rPr>
            </w:pPr>
            <w:r w:rsidRPr="00394954">
              <w:rPr>
                <w:rFonts w:ascii="標楷體" w:eastAsia="標楷體" w:hAnsi="標楷體" w:hint="eastAsia"/>
                <w:b/>
                <w:bCs/>
                <w:color w:val="4472C4" w:themeColor="accent1"/>
                <w:sz w:val="20"/>
                <w:szCs w:val="20"/>
              </w:rPr>
              <w:t>8. 完工交付</w:t>
            </w:r>
          </w:p>
        </w:tc>
        <w:tc>
          <w:tcPr>
            <w:tcW w:w="2410" w:type="dxa"/>
          </w:tcPr>
          <w:p w:rsidR="001B2F17" w:rsidRPr="00394954" w:rsidRDefault="001B2F17" w:rsidP="00D467CC">
            <w:pP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 w:rsidRPr="00394954">
              <w:rPr>
                <w:rFonts w:ascii="標楷體" w:eastAsia="標楷體" w:hAnsi="標楷體" w:hint="eastAsia"/>
                <w:color w:val="4472C4" w:themeColor="accent1"/>
                <w:sz w:val="20"/>
                <w:szCs w:val="20"/>
              </w:rPr>
              <w:t>最終驗收、正式營運</w:t>
            </w:r>
          </w:p>
        </w:tc>
        <w:tc>
          <w:tcPr>
            <w:tcW w:w="1134" w:type="dxa"/>
          </w:tcPr>
          <w:p w:rsidR="001B2F17" w:rsidRPr="00394954" w:rsidRDefault="001B2F17" w:rsidP="00D467CC">
            <w:pP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1B2F17" w:rsidRPr="00394954" w:rsidRDefault="001B2F17" w:rsidP="00D467CC">
            <w:pP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F17" w:rsidRPr="00394954" w:rsidRDefault="001B2F17" w:rsidP="00D467CC">
            <w:pPr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</w:p>
        </w:tc>
        <w:tc>
          <w:tcPr>
            <w:tcW w:w="1275" w:type="dxa"/>
          </w:tcPr>
          <w:p w:rsidR="001B2F17" w:rsidRPr="00394954" w:rsidRDefault="003D41E8" w:rsidP="00D467CC">
            <w:pPr>
              <w:jc w:val="center"/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4472C4" w:themeColor="accent1"/>
                <w:sz w:val="20"/>
                <w:szCs w:val="20"/>
              </w:rPr>
              <w:t>5</w:t>
            </w:r>
          </w:p>
        </w:tc>
      </w:tr>
    </w:tbl>
    <w:p w:rsidR="00D467CC" w:rsidRPr="00394954" w:rsidRDefault="00D467CC" w:rsidP="007743DA">
      <w:pPr>
        <w:pStyle w:val="a3"/>
        <w:ind w:leftChars="0" w:left="1276" w:firstLineChars="100" w:firstLine="240"/>
        <w:rPr>
          <w:rFonts w:ascii="標楷體" w:eastAsia="標楷體" w:hAnsi="標楷體"/>
          <w:color w:val="4472C4" w:themeColor="accent1"/>
        </w:rPr>
      </w:pPr>
      <w:r w:rsidRPr="00394954">
        <w:rPr>
          <w:rFonts w:ascii="標楷體" w:eastAsia="標楷體" w:hAnsi="標楷體" w:hint="eastAsia"/>
          <w:color w:val="4472C4" w:themeColor="accent1"/>
        </w:rPr>
        <w:t>(表格供參考，可依實際內容調整</w:t>
      </w:r>
      <w:r w:rsidR="00D405CC">
        <w:rPr>
          <w:rFonts w:ascii="標楷體" w:eastAsia="標楷體" w:hAnsi="標楷體" w:hint="eastAsia"/>
          <w:color w:val="4472C4" w:themeColor="accent1"/>
        </w:rPr>
        <w:t>，或提供</w:t>
      </w:r>
      <w:r w:rsidR="00D405CC" w:rsidRPr="00D405CC">
        <w:rPr>
          <w:rFonts w:ascii="標楷體" w:eastAsia="標楷體" w:hAnsi="標楷體" w:hint="eastAsia"/>
          <w:color w:val="4472C4" w:themeColor="accent1"/>
        </w:rPr>
        <w:t>甘特圖</w:t>
      </w:r>
      <w:r w:rsidRPr="00394954">
        <w:rPr>
          <w:rFonts w:ascii="標楷體" w:eastAsia="標楷體" w:hAnsi="標楷體" w:hint="eastAsia"/>
          <w:color w:val="4472C4" w:themeColor="accent1"/>
        </w:rPr>
        <w:t>)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設備建置及更新規劃（如生財設備及污油水、油煙、廢棄物、油脂截油槽、空調設備、內用鋼製餐盤等）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內部佈置及動線規劃：（商品販售動線、收銀台配置動線等）。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環境維護（營運空間內外及</w:t>
      </w:r>
      <w:proofErr w:type="gramStart"/>
      <w:r w:rsidRPr="00243588">
        <w:rPr>
          <w:rFonts w:ascii="標楷體" w:eastAsia="標楷體" w:hAnsi="標楷體" w:hint="eastAsia"/>
        </w:rPr>
        <w:t>週</w:t>
      </w:r>
      <w:proofErr w:type="gramEnd"/>
      <w:r w:rsidRPr="00243588">
        <w:rPr>
          <w:rFonts w:ascii="標楷體" w:eastAsia="標楷體" w:hAnsi="標楷體" w:hint="eastAsia"/>
        </w:rPr>
        <w:t>邊維護，推廣環保餐具，減少一次性餐具使用，若有垃圾及回收物產生需規劃分類及回收方式）。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營業項目、商品價位（含服務項目、餐點供應與設計、自備餐具、環保杯優惠標示）。如為清真膳食，由於本校多數</w:t>
      </w:r>
      <w:proofErr w:type="gramStart"/>
      <w:r w:rsidRPr="00243588">
        <w:rPr>
          <w:rFonts w:ascii="標楷體" w:eastAsia="標楷體" w:hAnsi="標楷體" w:hint="eastAsia"/>
        </w:rPr>
        <w:t>外籍生屬伊斯蘭教</w:t>
      </w:r>
      <w:proofErr w:type="gramEnd"/>
      <w:r w:rsidRPr="00243588">
        <w:rPr>
          <w:rFonts w:ascii="標楷體" w:eastAsia="標楷體" w:hAnsi="標楷體" w:hint="eastAsia"/>
        </w:rPr>
        <w:t>教徒，提供外籍生飲食須符合伊斯蘭教飲食規定之肉食及餐點。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顧客滿意度管理（含客訴處理流程）。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lastRenderedPageBreak/>
        <w:t>食材供應管理（含食材採購、登錄）。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餐點營養及熱量標示規劃（如餐點熱量、飲料含糖量及咖啡因之標示方式）。</w:t>
      </w:r>
    </w:p>
    <w:p w:rsid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proofErr w:type="gramStart"/>
      <w:r w:rsidRPr="00243588">
        <w:rPr>
          <w:rFonts w:ascii="標楷體" w:eastAsia="標楷體" w:hAnsi="標楷體" w:hint="eastAsia"/>
        </w:rPr>
        <w:t>節能減碳及</w:t>
      </w:r>
      <w:proofErr w:type="gramEnd"/>
      <w:r w:rsidRPr="00243588">
        <w:rPr>
          <w:rFonts w:ascii="標楷體" w:eastAsia="標楷體" w:hAnsi="標楷體" w:hint="eastAsia"/>
        </w:rPr>
        <w:t>用電管理（需符合用電指標（EUI基準）上限90）。</w:t>
      </w:r>
    </w:p>
    <w:p w:rsidR="00453235" w:rsidRPr="00243588" w:rsidRDefault="00453235" w:rsidP="00453235">
      <w:pPr>
        <w:pStyle w:val="a3"/>
        <w:ind w:leftChars="0" w:left="1276"/>
        <w:rPr>
          <w:rFonts w:ascii="標楷體" w:eastAsia="標楷體" w:hAnsi="標楷體"/>
        </w:rPr>
      </w:pPr>
    </w:p>
    <w:p w:rsidR="00243588" w:rsidRDefault="00243588" w:rsidP="0024358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營運管理</w:t>
      </w:r>
      <w:r w:rsidR="00453235">
        <w:rPr>
          <w:rFonts w:ascii="標楷體" w:eastAsia="標楷體" w:hAnsi="標楷體" w:hint="eastAsia"/>
        </w:rPr>
        <w:t>：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營運計畫及執行策略。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人力管理計畫（現場管理人員1名，若本商場為餐飲業需提供至少1名營養師，若有藥妝店需提供至少1名藥師）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餐飲衛生(含特殊</w:t>
      </w:r>
      <w:proofErr w:type="gramStart"/>
      <w:r w:rsidRPr="00243588">
        <w:rPr>
          <w:rFonts w:ascii="標楷體" w:eastAsia="標楷體" w:hAnsi="標楷體" w:hint="eastAsia"/>
        </w:rPr>
        <w:t>疫</w:t>
      </w:r>
      <w:proofErr w:type="gramEnd"/>
      <w:r w:rsidRPr="00243588">
        <w:rPr>
          <w:rFonts w:ascii="標楷體" w:eastAsia="標楷體" w:hAnsi="標楷體" w:hint="eastAsia"/>
        </w:rPr>
        <w:t>情防疫)管理計畫。</w:t>
      </w:r>
    </w:p>
    <w:p w:rsidR="00243588" w:rsidRP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保險營運財務規劃。</w:t>
      </w:r>
    </w:p>
    <w:p w:rsidR="00243588" w:rsidRDefault="00243588" w:rsidP="00243588">
      <w:pPr>
        <w:pStyle w:val="a3"/>
        <w:numPr>
          <w:ilvl w:val="1"/>
          <w:numId w:val="4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緊急應變措施 (如食物中毒與臨時無法供餐之緊急因應對策、緊急逃生等)。</w:t>
      </w:r>
    </w:p>
    <w:p w:rsidR="00453235" w:rsidRPr="00243588" w:rsidRDefault="00453235" w:rsidP="00453235">
      <w:pPr>
        <w:pStyle w:val="a3"/>
        <w:ind w:leftChars="0" w:left="1276"/>
        <w:rPr>
          <w:rFonts w:ascii="標楷體" w:eastAsia="標楷體" w:hAnsi="標楷體"/>
        </w:rPr>
      </w:pPr>
    </w:p>
    <w:p w:rsidR="00243588" w:rsidRDefault="00243588" w:rsidP="0024358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場地租金</w:t>
      </w:r>
      <w:r w:rsidR="00453235">
        <w:rPr>
          <w:rFonts w:ascii="標楷體" w:eastAsia="標楷體" w:hAnsi="標楷體" w:hint="eastAsia"/>
        </w:rPr>
        <w:t>：</w:t>
      </w:r>
    </w:p>
    <w:p w:rsidR="00243588" w:rsidRDefault="00453235" w:rsidP="00243588">
      <w:pPr>
        <w:pStyle w:val="a3"/>
        <w:ind w:leftChars="0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（</w:t>
      </w:r>
      <w:proofErr w:type="gramEnd"/>
      <w:r w:rsidRPr="00453235">
        <w:rPr>
          <w:rFonts w:ascii="標楷體" w:eastAsia="標楷體" w:hAnsi="標楷體" w:hint="eastAsia"/>
        </w:rPr>
        <w:t>每月租金投標金額不得低於新台幣3萬5,000元整。</w:t>
      </w:r>
      <w:r>
        <w:rPr>
          <w:rFonts w:ascii="標楷體" w:eastAsia="標楷體" w:hAnsi="標楷體" w:hint="eastAsia"/>
        </w:rPr>
        <w:t>）</w:t>
      </w:r>
    </w:p>
    <w:p w:rsidR="00453235" w:rsidRPr="00243588" w:rsidRDefault="00453235" w:rsidP="00243588">
      <w:pPr>
        <w:pStyle w:val="a3"/>
        <w:ind w:leftChars="0"/>
        <w:rPr>
          <w:rFonts w:ascii="標楷體" w:eastAsia="標楷體" w:hAnsi="標楷體"/>
        </w:rPr>
      </w:pPr>
    </w:p>
    <w:p w:rsidR="00243588" w:rsidRDefault="00243588" w:rsidP="00243588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創新及優惠服務</w:t>
      </w:r>
      <w:r w:rsidR="00453235">
        <w:rPr>
          <w:rFonts w:ascii="標楷體" w:eastAsia="標楷體" w:hAnsi="標楷體" w:hint="eastAsia"/>
        </w:rPr>
        <w:t>：</w:t>
      </w:r>
    </w:p>
    <w:p w:rsidR="00243588" w:rsidRPr="00243588" w:rsidRDefault="00243588" w:rsidP="00243588">
      <w:pPr>
        <w:pStyle w:val="a3"/>
        <w:numPr>
          <w:ilvl w:val="0"/>
          <w:numId w:val="6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對本校教職員工生之優惠措施。</w:t>
      </w:r>
    </w:p>
    <w:p w:rsidR="00243588" w:rsidRPr="00243588" w:rsidRDefault="00243588" w:rsidP="00243588">
      <w:pPr>
        <w:pStyle w:val="a3"/>
        <w:numPr>
          <w:ilvl w:val="0"/>
          <w:numId w:val="6"/>
        </w:numPr>
        <w:ind w:leftChars="0" w:left="1276" w:hanging="796"/>
        <w:rPr>
          <w:rFonts w:ascii="標楷體" w:eastAsia="標楷體" w:hAnsi="標楷體"/>
        </w:rPr>
      </w:pPr>
      <w:r w:rsidRPr="00243588">
        <w:rPr>
          <w:rFonts w:ascii="標楷體" w:eastAsia="標楷體" w:hAnsi="標楷體" w:hint="eastAsia"/>
        </w:rPr>
        <w:t>創新回饋（如環境維護認養、廚餘回收、行動支付服務、APP應用、自動販賣機、智慧販賣機、熟食販賣機規劃等廠商自行發揮）。</w:t>
      </w:r>
    </w:p>
    <w:p w:rsidR="00243588" w:rsidRPr="00243588" w:rsidRDefault="00243588" w:rsidP="00243588">
      <w:pPr>
        <w:rPr>
          <w:rFonts w:ascii="標楷體" w:eastAsia="標楷體" w:hAnsi="標楷體"/>
        </w:rPr>
      </w:pPr>
    </w:p>
    <w:sectPr w:rsidR="00243588" w:rsidRPr="00243588" w:rsidSect="001C3BE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74542"/>
    <w:multiLevelType w:val="hybridMultilevel"/>
    <w:tmpl w:val="79C26D6A"/>
    <w:lvl w:ilvl="0" w:tplc="C944C534">
      <w:start w:val="1"/>
      <w:numFmt w:val="taiwaneseCountingThousand"/>
      <w:lvlText w:val="(%1)"/>
      <w:lvlJc w:val="left"/>
      <w:pPr>
        <w:ind w:left="2182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 w15:restartNumberingAfterBreak="0">
    <w:nsid w:val="20E362E8"/>
    <w:multiLevelType w:val="hybridMultilevel"/>
    <w:tmpl w:val="3B9C2F26"/>
    <w:lvl w:ilvl="0" w:tplc="34108FB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 w:val="0"/>
        <w:lang w:val="en-US"/>
      </w:rPr>
    </w:lvl>
    <w:lvl w:ilvl="1" w:tplc="3262459E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  <w:sz w:val="24"/>
        <w:szCs w:val="28"/>
      </w:rPr>
    </w:lvl>
    <w:lvl w:ilvl="2" w:tplc="CD42E708">
      <w:start w:val="1"/>
      <w:numFmt w:val="taiwaneseCountingThousand"/>
      <w:lvlText w:val="（%3）"/>
      <w:lvlJc w:val="left"/>
      <w:pPr>
        <w:tabs>
          <w:tab w:val="num" w:pos="1568"/>
        </w:tabs>
        <w:ind w:left="1568" w:hanging="968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C522609C">
      <w:start w:val="1"/>
      <w:numFmt w:val="decimal"/>
      <w:lvlText w:val="%6、"/>
      <w:lvlJc w:val="left"/>
      <w:pPr>
        <w:ind w:left="27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545F7C7E"/>
    <w:multiLevelType w:val="hybridMultilevel"/>
    <w:tmpl w:val="CA00008E"/>
    <w:lvl w:ilvl="0" w:tplc="3502EF30">
      <w:start w:val="1"/>
      <w:numFmt w:val="decimal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558E667F"/>
    <w:multiLevelType w:val="hybridMultilevel"/>
    <w:tmpl w:val="56D46964"/>
    <w:lvl w:ilvl="0" w:tplc="B9DA6E8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CD42E708">
      <w:start w:val="1"/>
      <w:numFmt w:val="taiwaneseCountingThousand"/>
      <w:lvlText w:val="（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68F29D0"/>
    <w:multiLevelType w:val="hybridMultilevel"/>
    <w:tmpl w:val="A7BC5A60"/>
    <w:lvl w:ilvl="0" w:tplc="CD42E708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79440617"/>
    <w:multiLevelType w:val="hybridMultilevel"/>
    <w:tmpl w:val="A1B63150"/>
    <w:lvl w:ilvl="0" w:tplc="B9DA6E84">
      <w:start w:val="1"/>
      <w:numFmt w:val="taiwaneseCountingThousand"/>
      <w:lvlText w:val="%1、"/>
      <w:lvlJc w:val="left"/>
      <w:pPr>
        <w:tabs>
          <w:tab w:val="num" w:pos="1191"/>
        </w:tabs>
        <w:ind w:left="1191" w:hanging="711"/>
      </w:pPr>
      <w:rPr>
        <w:rFonts w:hint="eastAsia"/>
      </w:rPr>
    </w:lvl>
    <w:lvl w:ilvl="1" w:tplc="CD42E708">
      <w:start w:val="1"/>
      <w:numFmt w:val="taiwaneseCountingThousand"/>
      <w:lvlText w:val="（%2）"/>
      <w:lvlJc w:val="left"/>
      <w:pPr>
        <w:tabs>
          <w:tab w:val="num" w:pos="1448"/>
        </w:tabs>
        <w:ind w:left="1448" w:hanging="968"/>
      </w:pPr>
      <w:rPr>
        <w:rFonts w:hint="eastAsia"/>
      </w:rPr>
    </w:lvl>
    <w:lvl w:ilvl="2" w:tplc="A8986998">
      <w:start w:val="1"/>
      <w:numFmt w:val="taiwaneseCountingThousand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E1"/>
    <w:rsid w:val="001842B7"/>
    <w:rsid w:val="001B2F17"/>
    <w:rsid w:val="001C3BE1"/>
    <w:rsid w:val="00243588"/>
    <w:rsid w:val="00394954"/>
    <w:rsid w:val="003D41E8"/>
    <w:rsid w:val="003F1384"/>
    <w:rsid w:val="00453235"/>
    <w:rsid w:val="004B168E"/>
    <w:rsid w:val="00575A84"/>
    <w:rsid w:val="006E5897"/>
    <w:rsid w:val="007743DA"/>
    <w:rsid w:val="00B40D7E"/>
    <w:rsid w:val="00C21B6C"/>
    <w:rsid w:val="00D405CC"/>
    <w:rsid w:val="00D467CC"/>
    <w:rsid w:val="00E3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13546"/>
  <w15:chartTrackingRefBased/>
  <w15:docId w15:val="{FC53D6E9-D317-4A59-BF56-88CA081B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3BE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BE1"/>
    <w:pPr>
      <w:ind w:leftChars="200" w:left="480"/>
    </w:pPr>
    <w:rPr>
      <w:rFonts w:ascii="Calibri" w:hAnsi="Calibri"/>
      <w:szCs w:val="22"/>
    </w:rPr>
  </w:style>
  <w:style w:type="table" w:styleId="a4">
    <w:name w:val="Table Grid"/>
    <w:basedOn w:val="a1"/>
    <w:uiPriority w:val="39"/>
    <w:rsid w:val="00243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2025-02-05T05:22:00Z</dcterms:created>
  <dcterms:modified xsi:type="dcterms:W3CDTF">2025-02-11T07:22:00Z</dcterms:modified>
</cp:coreProperties>
</file>